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5427" w:rsidRDefault="002A5427">
      <w:pPr>
        <w:spacing w:line="312" w:lineRule="auto"/>
        <w:jc w:val="center"/>
        <w:rPr>
          <w:rFonts w:ascii="SimHei" w:eastAsia="SimHei" w:hAnsi="SimSun"/>
          <w:b/>
          <w:sz w:val="36"/>
          <w:szCs w:val="36"/>
        </w:rPr>
      </w:pPr>
      <w:bookmarkStart w:id="0" w:name="_GoBack"/>
      <w:bookmarkEnd w:id="0"/>
      <w:r>
        <w:rPr>
          <w:rFonts w:ascii="SimHei" w:eastAsia="SimHei" w:hAnsi="SimSun" w:hint="eastAsia"/>
          <w:b/>
          <w:sz w:val="36"/>
          <w:szCs w:val="36"/>
          <w:u w:val="single"/>
        </w:rPr>
        <w:t xml:space="preserve">单位督导 </w:t>
      </w:r>
      <w:r>
        <w:rPr>
          <w:rFonts w:ascii="SimHei" w:eastAsia="SimHei" w:hAnsi="SimSun" w:hint="eastAsia"/>
          <w:b/>
          <w:sz w:val="36"/>
          <w:szCs w:val="36"/>
        </w:rPr>
        <w:t>议程</w:t>
      </w:r>
    </w:p>
    <w:p w:rsidR="002A5427" w:rsidRDefault="002A5427">
      <w:pPr>
        <w:spacing w:line="312" w:lineRule="auto"/>
        <w:rPr>
          <w:rFonts w:ascii="SimSun" w:hAnsi="SimSun"/>
          <w:b/>
          <w:sz w:val="24"/>
          <w:szCs w:val="24"/>
        </w:rPr>
      </w:pPr>
      <w:r>
        <w:rPr>
          <w:rFonts w:ascii="SimSun" w:hAnsi="SimSun" w:hint="eastAsia"/>
          <w:b/>
          <w:sz w:val="24"/>
          <w:szCs w:val="24"/>
        </w:rPr>
        <w:t>一、时间</w:t>
      </w:r>
    </w:p>
    <w:p w:rsidR="002A5427" w:rsidRDefault="002A5427">
      <w:pPr>
        <w:spacing w:line="312" w:lineRule="auto"/>
        <w:rPr>
          <w:rFonts w:ascii="SimSun" w:hAnsi="SimSun"/>
          <w:sz w:val="24"/>
          <w:szCs w:val="24"/>
        </w:rPr>
      </w:pPr>
      <w:r>
        <w:rPr>
          <w:rFonts w:ascii="SimSun" w:hAnsi="SimSun" w:hint="eastAsia"/>
          <w:sz w:val="24"/>
          <w:szCs w:val="24"/>
        </w:rPr>
        <w:t xml:space="preserve">       </w:t>
      </w:r>
      <w:smartTag w:uri="urn:schemas-microsoft-com:office:smarttags" w:element="chsdate">
        <w:smartTagPr>
          <w:attr w:name="Year" w:val="2014"/>
          <w:attr w:name="Month" w:val="9"/>
          <w:attr w:name="Day" w:val="18"/>
          <w:attr w:name="IsLunarDate" w:val="False"/>
          <w:attr w:name="IsROCDate" w:val="False"/>
        </w:smartTagPr>
        <w:r>
          <w:rPr>
            <w:rFonts w:ascii="SimSun" w:hAnsi="SimSun" w:hint="eastAsia"/>
            <w:sz w:val="24"/>
            <w:szCs w:val="24"/>
          </w:rPr>
          <w:t>2014年9月18日</w:t>
        </w:r>
      </w:smartTag>
      <w:r>
        <w:rPr>
          <w:rFonts w:ascii="SimSun" w:hAnsi="SimSun" w:hint="eastAsia"/>
          <w:sz w:val="24"/>
          <w:szCs w:val="24"/>
        </w:rPr>
        <w:t xml:space="preserve">   下午：9:30至12:30</w:t>
      </w:r>
    </w:p>
    <w:p w:rsidR="002A5427" w:rsidRDefault="002A5427">
      <w:pPr>
        <w:spacing w:line="312" w:lineRule="auto"/>
        <w:rPr>
          <w:rFonts w:ascii="SimSun" w:hAnsi="SimSun"/>
          <w:b/>
          <w:sz w:val="24"/>
          <w:szCs w:val="24"/>
        </w:rPr>
      </w:pPr>
      <w:r>
        <w:rPr>
          <w:rFonts w:ascii="SimSun" w:hAnsi="SimSun" w:hint="eastAsia"/>
          <w:b/>
          <w:sz w:val="24"/>
          <w:szCs w:val="24"/>
        </w:rPr>
        <w:t>二、地点</w:t>
      </w:r>
    </w:p>
    <w:p w:rsidR="002A5427" w:rsidRDefault="002A5427">
      <w:pPr>
        <w:spacing w:line="312" w:lineRule="auto"/>
        <w:rPr>
          <w:rFonts w:ascii="SimSun" w:hAnsi="SimSun"/>
          <w:b/>
          <w:sz w:val="24"/>
          <w:szCs w:val="24"/>
        </w:rPr>
      </w:pPr>
      <w:r>
        <w:rPr>
          <w:rFonts w:ascii="SimSun" w:hAnsi="SimSun" w:hint="eastAsia"/>
          <w:sz w:val="24"/>
          <w:szCs w:val="24"/>
        </w:rPr>
        <w:t xml:space="preserve">   </w:t>
      </w:r>
      <w:r>
        <w:rPr>
          <w:rFonts w:ascii="SimSun" w:hAnsi="SimSun" w:hint="eastAsia"/>
          <w:b/>
          <w:sz w:val="24"/>
          <w:szCs w:val="24"/>
        </w:rPr>
        <w:t xml:space="preserve"> </w:t>
      </w:r>
      <w:r>
        <w:rPr>
          <w:rFonts w:ascii="FangSong_GB2312" w:eastAsia="FangSong_GB2312" w:hint="eastAsia"/>
          <w:b/>
          <w:sz w:val="24"/>
        </w:rPr>
        <w:t>社区服务中心</w:t>
      </w:r>
    </w:p>
    <w:p w:rsidR="00A03363" w:rsidRDefault="00A03363">
      <w:pPr>
        <w:spacing w:line="312" w:lineRule="auto"/>
        <w:rPr>
          <w:rFonts w:ascii="SimSun" w:eastAsiaTheme="minorEastAsia" w:hAnsi="SimSun"/>
          <w:b/>
          <w:sz w:val="24"/>
          <w:szCs w:val="24"/>
        </w:rPr>
      </w:pPr>
    </w:p>
    <w:p w:rsidR="002A5427" w:rsidRDefault="002A5427">
      <w:pPr>
        <w:spacing w:line="312" w:lineRule="auto"/>
        <w:rPr>
          <w:rFonts w:ascii="SimSun" w:hAnsi="SimSun"/>
          <w:b/>
          <w:sz w:val="24"/>
          <w:szCs w:val="24"/>
        </w:rPr>
      </w:pPr>
      <w:r>
        <w:rPr>
          <w:rFonts w:ascii="SimSun" w:hAnsi="SimSun" w:hint="eastAsia"/>
          <w:b/>
          <w:sz w:val="24"/>
          <w:szCs w:val="24"/>
        </w:rPr>
        <w:t>五、议程和记录</w:t>
      </w:r>
    </w:p>
    <w:p w:rsidR="002A5427" w:rsidRPr="00AD5185" w:rsidRDefault="002A5427">
      <w:pPr>
        <w:rPr>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3"/>
        <w:gridCol w:w="7697"/>
      </w:tblGrid>
      <w:tr w:rsidR="002A5427" w:rsidRPr="00AD5185" w:rsidTr="000A6E74">
        <w:trPr>
          <w:trHeight w:val="289"/>
        </w:trPr>
        <w:tc>
          <w:tcPr>
            <w:tcW w:w="2923" w:type="dxa"/>
          </w:tcPr>
          <w:p w:rsidR="002A5427" w:rsidRPr="00AD5185" w:rsidRDefault="002A5427">
            <w:pPr>
              <w:spacing w:line="312" w:lineRule="auto"/>
              <w:ind w:firstLineChars="390" w:firstLine="940"/>
              <w:rPr>
                <w:rFonts w:ascii="SimSun" w:hAnsi="SimSun"/>
                <w:sz w:val="24"/>
                <w:szCs w:val="24"/>
              </w:rPr>
            </w:pPr>
            <w:r w:rsidRPr="00AD5185">
              <w:rPr>
                <w:rFonts w:ascii="SimSun" w:hAnsi="SimSun" w:hint="eastAsia"/>
                <w:b/>
                <w:sz w:val="24"/>
                <w:szCs w:val="24"/>
              </w:rPr>
              <w:t xml:space="preserve">      议题</w:t>
            </w:r>
          </w:p>
        </w:tc>
        <w:tc>
          <w:tcPr>
            <w:tcW w:w="7697" w:type="dxa"/>
          </w:tcPr>
          <w:p w:rsidR="002A5427" w:rsidRPr="00AD5185" w:rsidRDefault="002A5427">
            <w:pPr>
              <w:tabs>
                <w:tab w:val="left" w:pos="480"/>
              </w:tabs>
              <w:rPr>
                <w:rFonts w:ascii="新細明體" w:eastAsia="新細明體" w:hAnsi="新細明體"/>
                <w:color w:val="0000FF"/>
                <w:sz w:val="24"/>
                <w:szCs w:val="24"/>
                <w:lang w:eastAsia="zh-TW"/>
              </w:rPr>
            </w:pPr>
            <w:r w:rsidRPr="00AD5185">
              <w:rPr>
                <w:rFonts w:ascii="SimSun" w:hAnsi="SimSun" w:hint="eastAsia"/>
                <w:b/>
                <w:sz w:val="24"/>
                <w:szCs w:val="24"/>
              </w:rPr>
              <w:t xml:space="preserve">                  议题讨论记录</w:t>
            </w:r>
          </w:p>
        </w:tc>
      </w:tr>
      <w:tr w:rsidR="002A5427" w:rsidRPr="00AD5185" w:rsidTr="000A6E74">
        <w:trPr>
          <w:trHeight w:val="1053"/>
        </w:trPr>
        <w:tc>
          <w:tcPr>
            <w:tcW w:w="2923" w:type="dxa"/>
          </w:tcPr>
          <w:p w:rsidR="002A5427" w:rsidRPr="00AD5185" w:rsidRDefault="002A5427">
            <w:pPr>
              <w:rPr>
                <w:rFonts w:ascii="SimSun" w:hAnsi="SimSun"/>
                <w:b/>
                <w:bCs/>
                <w:color w:val="FF0000"/>
                <w:sz w:val="24"/>
                <w:szCs w:val="24"/>
              </w:rPr>
            </w:pPr>
            <w:r w:rsidRPr="00AD5185">
              <w:rPr>
                <w:rFonts w:ascii="SimSun" w:hAnsi="SimSun" w:hint="eastAsia"/>
                <w:b/>
                <w:bCs/>
                <w:color w:val="FF0000"/>
                <w:sz w:val="24"/>
                <w:szCs w:val="24"/>
              </w:rPr>
              <w:t>1、如何结合社区地域特征开展街站服务及街站服务的形式和内容有哪些</w:t>
            </w:r>
          </w:p>
        </w:tc>
        <w:tc>
          <w:tcPr>
            <w:tcW w:w="7697" w:type="dxa"/>
          </w:tcPr>
          <w:p w:rsidR="00816614" w:rsidRPr="00AD5185" w:rsidRDefault="0081661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以楼栋、小区为单位</w:t>
            </w:r>
          </w:p>
          <w:p w:rsidR="00816614" w:rsidRPr="00AD5185" w:rsidRDefault="0081661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在人流多的位置摆设街站</w:t>
            </w:r>
          </w:p>
          <w:p w:rsidR="002A5427" w:rsidRPr="00AD5185" w:rsidRDefault="0081661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手工艺、扎气球、音乐会、摊位游戏、手绳制作、填色比赛、摩术表演、舞蹈表演、花式跳绳...；节日食品制作, 如年糕、汤圆、曲奇饼、饺子等</w:t>
            </w:r>
          </w:p>
          <w:p w:rsidR="00816614" w:rsidRPr="00AD5185" w:rsidRDefault="0081661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把他们从社区带进中心的服务系统</w:t>
            </w:r>
          </w:p>
          <w:p w:rsidR="00816614" w:rsidRPr="00AD5185" w:rsidRDefault="0081661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把他们从中心带出社区</w:t>
            </w:r>
            <w:r w:rsidR="000A6E74" w:rsidRPr="00AD5185">
              <w:rPr>
                <w:rFonts w:ascii="SimSun" w:hAnsi="SimSun" w:hint="eastAsia"/>
                <w:color w:val="0000FF"/>
                <w:sz w:val="24"/>
                <w:szCs w:val="24"/>
              </w:rPr>
              <w:t>服务其他人</w:t>
            </w:r>
          </w:p>
          <w:p w:rsidR="00816614" w:rsidRPr="00AD5185" w:rsidRDefault="0081661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当居民熟落后，协助他们一起策划其它活动, 如乡郊漫游、公囩野餐、水库烧烤、参覌农场、摘士多啤梨活动等, 发展成一个互助社群</w:t>
            </w:r>
            <w:r w:rsidR="000A6E74" w:rsidRPr="00AD5185">
              <w:rPr>
                <w:rFonts w:ascii="SimSun" w:hAnsi="SimSun" w:hint="eastAsia"/>
                <w:color w:val="0000FF"/>
                <w:sz w:val="24"/>
                <w:szCs w:val="24"/>
              </w:rPr>
              <w:t>（助人自助）；可能的话，再培训和组织他们去服务其他弱势社群（自助助人）</w:t>
            </w:r>
          </w:p>
          <w:p w:rsidR="000A6E74" w:rsidRPr="00AD5185" w:rsidRDefault="000A6E7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试分享一下你们的街站经验</w:t>
            </w:r>
          </w:p>
          <w:p w:rsidR="000A6E74" w:rsidRPr="00AD5185" w:rsidRDefault="000A6E74" w:rsidP="00AD5185">
            <w:pPr>
              <w:tabs>
                <w:tab w:val="left" w:pos="480"/>
              </w:tabs>
              <w:ind w:left="274" w:hangingChars="114" w:hanging="274"/>
              <w:rPr>
                <w:rFonts w:ascii="SimSun" w:hAnsi="SimSun"/>
                <w:color w:val="0000FF"/>
                <w:sz w:val="24"/>
                <w:szCs w:val="24"/>
              </w:rPr>
            </w:pPr>
            <w:r w:rsidRPr="00AD5185">
              <w:rPr>
                <w:rFonts w:ascii="SimSun" w:hAnsi="SimSun" w:hint="eastAsia"/>
                <w:color w:val="0000FF"/>
                <w:sz w:val="24"/>
                <w:szCs w:val="24"/>
              </w:rPr>
              <w:t>- 参考资料（附件）</w:t>
            </w:r>
          </w:p>
        </w:tc>
      </w:tr>
      <w:tr w:rsidR="002A5427" w:rsidRPr="00AD5185" w:rsidTr="000A6E74">
        <w:trPr>
          <w:trHeight w:val="1045"/>
        </w:trPr>
        <w:tc>
          <w:tcPr>
            <w:tcW w:w="2923" w:type="dxa"/>
          </w:tcPr>
          <w:p w:rsidR="002A5427" w:rsidRPr="00AD5185" w:rsidRDefault="002A5427">
            <w:pPr>
              <w:spacing w:line="312" w:lineRule="auto"/>
              <w:rPr>
                <w:rFonts w:ascii="SimSun" w:hAnsi="SimSun"/>
                <w:b/>
                <w:bCs/>
                <w:color w:val="FF0000"/>
                <w:sz w:val="24"/>
                <w:szCs w:val="24"/>
              </w:rPr>
            </w:pPr>
            <w:r w:rsidRPr="00AD5185">
              <w:rPr>
                <w:rFonts w:ascii="SimSun" w:hAnsi="SimSun" w:hint="eastAsia"/>
                <w:b/>
                <w:bCs/>
                <w:color w:val="FF0000"/>
                <w:sz w:val="24"/>
                <w:szCs w:val="24"/>
              </w:rPr>
              <w:t>2、入户家访技巧及方法</w:t>
            </w:r>
          </w:p>
        </w:tc>
        <w:tc>
          <w:tcPr>
            <w:tcW w:w="7697" w:type="dxa"/>
          </w:tcPr>
          <w:p w:rsidR="002A5427" w:rsidRPr="00AD5185" w:rsidRDefault="004F35C0" w:rsidP="00AD5185">
            <w:pPr>
              <w:tabs>
                <w:tab w:val="left" w:pos="480"/>
              </w:tabs>
              <w:ind w:left="274" w:hangingChars="114" w:hanging="274"/>
              <w:rPr>
                <w:rFonts w:ascii="新細明體" w:eastAsia="新細明體" w:hAnsi="新細明體"/>
                <w:color w:val="0000FF"/>
                <w:sz w:val="24"/>
                <w:szCs w:val="24"/>
              </w:rPr>
            </w:pPr>
            <w:r w:rsidRPr="00AD5185">
              <w:rPr>
                <w:rFonts w:ascii="SimSun" w:hAnsi="SimSun" w:hint="eastAsia"/>
                <w:color w:val="0000FF"/>
                <w:sz w:val="24"/>
                <w:szCs w:val="24"/>
              </w:rPr>
              <w:t>- 附件中有8个参考档,请每一位社工阅后,把有关内容套进你过去的家访经验中作分析,有什么地方</w:t>
            </w:r>
            <w:r w:rsidR="00E26F77" w:rsidRPr="00AD5185">
              <w:rPr>
                <w:rFonts w:ascii="SimSun" w:hAnsi="SimSun" w:hint="eastAsia"/>
                <w:color w:val="0000FF"/>
                <w:sz w:val="24"/>
                <w:szCs w:val="24"/>
              </w:rPr>
              <w:t>有做,有什么没做,有什么做得好,有什么可以改善?...如果你没做过家访,则请你在会议中,有系统地说一遍怎么样做好一个家访。</w:t>
            </w:r>
          </w:p>
        </w:tc>
      </w:tr>
      <w:tr w:rsidR="002A5427" w:rsidRPr="00AD5185" w:rsidTr="000A6E74">
        <w:trPr>
          <w:trHeight w:val="1482"/>
        </w:trPr>
        <w:tc>
          <w:tcPr>
            <w:tcW w:w="2923" w:type="dxa"/>
          </w:tcPr>
          <w:p w:rsidR="002A5427" w:rsidRPr="00AD5185" w:rsidRDefault="00E26F77" w:rsidP="00AD5185">
            <w:pPr>
              <w:spacing w:line="312" w:lineRule="auto"/>
              <w:ind w:left="240" w:hangingChars="100" w:hanging="240"/>
              <w:jc w:val="left"/>
              <w:rPr>
                <w:rFonts w:ascii="SimSun" w:hAnsi="SimSun"/>
                <w:b/>
                <w:bCs/>
                <w:color w:val="FF0000"/>
                <w:sz w:val="24"/>
                <w:szCs w:val="24"/>
              </w:rPr>
            </w:pPr>
            <w:r w:rsidRPr="00AD5185">
              <w:rPr>
                <w:rFonts w:ascii="Arial" w:hAnsi="SimSun" w:hint="eastAsia"/>
                <w:color w:val="0000FF"/>
                <w:sz w:val="24"/>
                <w:szCs w:val="24"/>
              </w:rPr>
              <w:t>3</w:t>
            </w:r>
            <w:r w:rsidRPr="00AD5185">
              <w:rPr>
                <w:rFonts w:ascii="Arial" w:hAnsi="SimSun" w:hint="eastAsia"/>
                <w:color w:val="0000FF"/>
                <w:sz w:val="24"/>
                <w:szCs w:val="24"/>
              </w:rPr>
              <w:t>、</w:t>
            </w:r>
            <w:r w:rsidR="00A03363" w:rsidRPr="00AD5185">
              <w:rPr>
                <w:rFonts w:ascii="Arial" w:eastAsiaTheme="minorEastAsia" w:hAnsi="SimSun" w:hint="eastAsia"/>
                <w:color w:val="0000FF"/>
                <w:sz w:val="24"/>
                <w:szCs w:val="24"/>
              </w:rPr>
              <w:t>XX</w:t>
            </w:r>
            <w:r w:rsidRPr="00AD5185">
              <w:rPr>
                <w:rFonts w:ascii="Arial" w:hAnsi="SimSun" w:hint="eastAsia"/>
                <w:color w:val="0000FF"/>
                <w:sz w:val="24"/>
                <w:szCs w:val="24"/>
              </w:rPr>
              <w:t>中心在一两年内的远景</w:t>
            </w:r>
            <w:r w:rsidR="000A6E74" w:rsidRPr="00AD5185">
              <w:rPr>
                <w:rFonts w:ascii="Arial" w:hAnsi="SimSun" w:hint="eastAsia"/>
                <w:color w:val="0000FF"/>
                <w:sz w:val="24"/>
                <w:szCs w:val="24"/>
              </w:rPr>
              <w:t>，在点、线、面方面</w:t>
            </w:r>
            <w:r w:rsidRPr="00AD5185">
              <w:rPr>
                <w:rFonts w:ascii="Arial" w:hAnsi="SimSun" w:hint="eastAsia"/>
                <w:color w:val="0000FF"/>
                <w:sz w:val="24"/>
                <w:szCs w:val="24"/>
              </w:rPr>
              <w:t>？</w:t>
            </w:r>
            <w:r w:rsidR="002A5427" w:rsidRPr="00AD5185">
              <w:rPr>
                <w:rFonts w:ascii="Arial" w:hAnsi="SimSun"/>
                <w:b/>
                <w:bCs/>
                <w:color w:val="FF0000"/>
                <w:sz w:val="24"/>
                <w:szCs w:val="24"/>
              </w:rPr>
              <w:br/>
            </w:r>
          </w:p>
        </w:tc>
        <w:tc>
          <w:tcPr>
            <w:tcW w:w="7697" w:type="dxa"/>
          </w:tcPr>
          <w:p w:rsidR="002A5427" w:rsidRPr="00AD5185" w:rsidRDefault="000A6E74">
            <w:pPr>
              <w:spacing w:line="312" w:lineRule="auto"/>
              <w:rPr>
                <w:rFonts w:ascii="SimSun" w:hAnsi="SimSun"/>
                <w:color w:val="0000FF"/>
                <w:sz w:val="24"/>
                <w:szCs w:val="24"/>
              </w:rPr>
            </w:pPr>
            <w:r w:rsidRPr="00AD5185">
              <w:rPr>
                <w:rFonts w:ascii="SimSun" w:hAnsi="SimSun" w:hint="eastAsia"/>
                <w:color w:val="0000FF"/>
                <w:sz w:val="24"/>
                <w:szCs w:val="24"/>
              </w:rPr>
              <w:t>- 点：</w:t>
            </w:r>
          </w:p>
          <w:p w:rsidR="000A6E74" w:rsidRPr="00AD5185" w:rsidRDefault="000A6E74">
            <w:pPr>
              <w:spacing w:line="312" w:lineRule="auto"/>
              <w:rPr>
                <w:rFonts w:ascii="SimSun" w:hAnsi="SimSun"/>
                <w:color w:val="0000FF"/>
                <w:sz w:val="24"/>
                <w:szCs w:val="24"/>
              </w:rPr>
            </w:pPr>
          </w:p>
          <w:p w:rsidR="000A6E74" w:rsidRPr="00AD5185" w:rsidRDefault="000A6E74">
            <w:pPr>
              <w:spacing w:line="312" w:lineRule="auto"/>
              <w:rPr>
                <w:rFonts w:ascii="SimSun" w:hAnsi="SimSun"/>
                <w:color w:val="0000FF"/>
                <w:sz w:val="24"/>
                <w:szCs w:val="24"/>
              </w:rPr>
            </w:pPr>
            <w:r w:rsidRPr="00AD5185">
              <w:rPr>
                <w:rFonts w:ascii="SimSun" w:hAnsi="SimSun" w:hint="eastAsia"/>
                <w:color w:val="0000FF"/>
                <w:sz w:val="24"/>
                <w:szCs w:val="24"/>
              </w:rPr>
              <w:t>- 线：</w:t>
            </w:r>
          </w:p>
          <w:p w:rsidR="000A6E74" w:rsidRPr="00AD5185" w:rsidRDefault="000A6E74">
            <w:pPr>
              <w:spacing w:line="312" w:lineRule="auto"/>
              <w:rPr>
                <w:rFonts w:ascii="SimSun" w:hAnsi="SimSun"/>
                <w:color w:val="0000FF"/>
                <w:sz w:val="24"/>
                <w:szCs w:val="24"/>
              </w:rPr>
            </w:pPr>
          </w:p>
          <w:p w:rsidR="000A6E74" w:rsidRPr="00AD5185" w:rsidRDefault="000A6E74">
            <w:pPr>
              <w:spacing w:line="312" w:lineRule="auto"/>
              <w:rPr>
                <w:rFonts w:ascii="SimSun" w:hAnsi="SimSun"/>
                <w:color w:val="0000FF"/>
                <w:sz w:val="24"/>
                <w:szCs w:val="24"/>
              </w:rPr>
            </w:pPr>
            <w:r w:rsidRPr="00AD5185">
              <w:rPr>
                <w:rFonts w:ascii="SimSun" w:hAnsi="SimSun" w:hint="eastAsia"/>
                <w:color w:val="0000FF"/>
                <w:sz w:val="24"/>
                <w:szCs w:val="24"/>
              </w:rPr>
              <w:t>- 面：</w:t>
            </w:r>
          </w:p>
          <w:p w:rsidR="000A6E74" w:rsidRPr="00AD5185" w:rsidRDefault="000A6E74">
            <w:pPr>
              <w:spacing w:line="312" w:lineRule="auto"/>
              <w:rPr>
                <w:rFonts w:ascii="新細明體" w:eastAsia="新細明體" w:hAnsi="新細明體"/>
                <w:color w:val="0000FF"/>
                <w:sz w:val="24"/>
                <w:szCs w:val="24"/>
              </w:rPr>
            </w:pPr>
          </w:p>
        </w:tc>
      </w:tr>
    </w:tbl>
    <w:p w:rsidR="002A5427" w:rsidRDefault="002A5427" w:rsidP="000A6E74">
      <w:pPr>
        <w:tabs>
          <w:tab w:val="left" w:pos="3423"/>
        </w:tabs>
      </w:pPr>
    </w:p>
    <w:sectPr w:rsidR="002A5427" w:rsidSect="00AD5185">
      <w:footerReference w:type="default" r:id="rId7"/>
      <w:pgSz w:w="11906" w:h="16838"/>
      <w:pgMar w:top="1134" w:right="1797" w:bottom="851" w:left="1797"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5E" w:rsidRDefault="00684E5E">
      <w:r>
        <w:separator/>
      </w:r>
    </w:p>
  </w:endnote>
  <w:endnote w:type="continuationSeparator" w:id="0">
    <w:p w:rsidR="00684E5E" w:rsidRDefault="0068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ipei">
    <w:altName w:val="Times New Roman"/>
    <w:charset w:val="00"/>
    <w:family w:val="roman"/>
    <w:pitch w:val="default"/>
    <w:sig w:usb0="00000000" w:usb1="00000000" w:usb2="00000000"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9A" w:rsidRDefault="004C439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D518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D5185">
      <w:rPr>
        <w:b/>
        <w:noProof/>
      </w:rPr>
      <w:t>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5E" w:rsidRDefault="00684E5E">
      <w:r>
        <w:separator/>
      </w:r>
    </w:p>
  </w:footnote>
  <w:footnote w:type="continuationSeparator" w:id="0">
    <w:p w:rsidR="00684E5E" w:rsidRDefault="00684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E74"/>
    <w:rsid w:val="00172A27"/>
    <w:rsid w:val="002A5427"/>
    <w:rsid w:val="004C439A"/>
    <w:rsid w:val="004F35C0"/>
    <w:rsid w:val="00684E5E"/>
    <w:rsid w:val="00816614"/>
    <w:rsid w:val="00A03363"/>
    <w:rsid w:val="00A107D0"/>
    <w:rsid w:val="00AD5185"/>
    <w:rsid w:val="00E26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styleId="a7">
    <w:name w:val="Hyperlink"/>
    <w:basedOn w:val="a0"/>
    <w:rPr>
      <w:color w:val="0000FF"/>
      <w:u w:val="single"/>
    </w:rPr>
  </w:style>
  <w:style w:type="character" w:styleId="a8">
    <w:name w:val="annotation reference"/>
    <w:basedOn w:val="a0"/>
    <w:semiHidden/>
    <w:rPr>
      <w:sz w:val="21"/>
      <w:szCs w:val="21"/>
    </w:rPr>
  </w:style>
  <w:style w:type="character" w:customStyle="1" w:styleId="a9">
    <w:name w:val="註解方塊文字 字元"/>
    <w:basedOn w:val="a0"/>
    <w:link w:val="aa"/>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customStyle="1" w:styleId="relationcontenttitle">
    <w:name w:val="relationcontenttitle"/>
    <w:basedOn w:val="a"/>
    <w:pPr>
      <w:widowControl/>
      <w:spacing w:before="100" w:beforeAutospacing="1" w:after="100" w:afterAutospacing="1"/>
      <w:jc w:val="left"/>
    </w:pPr>
    <w:rPr>
      <w:rFonts w:ascii="Taipei" w:eastAsia="新細明體" w:hAnsi="Taipei" w:cs="新細明體"/>
      <w:b/>
      <w:bCs/>
      <w:color w:val="000000"/>
      <w:kern w:val="0"/>
      <w:sz w:val="11"/>
      <w:szCs w:val="11"/>
      <w:lang w:eastAsia="zh-TW" w:bidi="he-IL"/>
    </w:rPr>
  </w:style>
  <w:style w:type="paragraph" w:styleId="ab">
    <w:name w:val="annotation subject"/>
    <w:basedOn w:val="ac"/>
    <w:next w:val="ac"/>
    <w:semiHidden/>
    <w:rPr>
      <w:b/>
      <w:bCs/>
    </w:rPr>
  </w:style>
  <w:style w:type="paragraph" w:styleId="ac">
    <w:name w:val="annotation text"/>
    <w:basedOn w:val="a"/>
    <w:semiHidden/>
    <w:pPr>
      <w:jc w:val="left"/>
    </w:pPr>
  </w:style>
  <w:style w:type="paragraph" w:styleId="aa">
    <w:name w:val="Balloon Text"/>
    <w:basedOn w:val="a"/>
    <w:link w:val="a9"/>
    <w:rPr>
      <w:sz w:val="18"/>
      <w:szCs w:val="18"/>
    </w:rPr>
  </w:style>
  <w:style w:type="paragraph" w:styleId="ad">
    <w:name w:val="Date"/>
    <w:basedOn w:val="a"/>
    <w:next w:val="a"/>
    <w:pPr>
      <w:ind w:leftChars="2500" w:left="100"/>
    </w:pPr>
  </w:style>
  <w:style w:type="paragraph" w:customStyle="1" w:styleId="relationcontent">
    <w:name w:val="relationcontent"/>
    <w:basedOn w:val="a"/>
    <w:pPr>
      <w:widowControl/>
      <w:spacing w:before="100" w:beforeAutospacing="1" w:after="100" w:afterAutospacing="1"/>
      <w:jc w:val="left"/>
    </w:pPr>
    <w:rPr>
      <w:rFonts w:ascii="Taipei" w:eastAsia="新細明體" w:hAnsi="Taipei" w:cs="新細明體"/>
      <w:color w:val="333333"/>
      <w:kern w:val="0"/>
      <w:sz w:val="9"/>
      <w:szCs w:val="9"/>
      <w:lang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rPr>
      <w:rFonts w:ascii="Calibri" w:hAnsi="Calibri"/>
      <w:kern w:val="2"/>
      <w:sz w:val="18"/>
      <w:szCs w:val="18"/>
    </w:rPr>
  </w:style>
  <w:style w:type="character" w:customStyle="1" w:styleId="a5">
    <w:name w:val="頁尾 字元"/>
    <w:basedOn w:val="a0"/>
    <w:link w:val="a6"/>
    <w:rPr>
      <w:rFonts w:ascii="Calibri" w:hAnsi="Calibri"/>
      <w:kern w:val="2"/>
      <w:sz w:val="18"/>
      <w:szCs w:val="18"/>
    </w:rPr>
  </w:style>
  <w:style w:type="character" w:styleId="a7">
    <w:name w:val="Hyperlink"/>
    <w:basedOn w:val="a0"/>
    <w:rPr>
      <w:color w:val="0000FF"/>
      <w:u w:val="single"/>
    </w:rPr>
  </w:style>
  <w:style w:type="character" w:styleId="a8">
    <w:name w:val="annotation reference"/>
    <w:basedOn w:val="a0"/>
    <w:semiHidden/>
    <w:rPr>
      <w:sz w:val="21"/>
      <w:szCs w:val="21"/>
    </w:rPr>
  </w:style>
  <w:style w:type="character" w:customStyle="1" w:styleId="a9">
    <w:name w:val="註解方塊文字 字元"/>
    <w:basedOn w:val="a0"/>
    <w:link w:val="aa"/>
    <w:rPr>
      <w:rFonts w:ascii="Calibri" w:hAnsi="Calibri"/>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customStyle="1" w:styleId="relationcontenttitle">
    <w:name w:val="relationcontenttitle"/>
    <w:basedOn w:val="a"/>
    <w:pPr>
      <w:widowControl/>
      <w:spacing w:before="100" w:beforeAutospacing="1" w:after="100" w:afterAutospacing="1"/>
      <w:jc w:val="left"/>
    </w:pPr>
    <w:rPr>
      <w:rFonts w:ascii="Taipei" w:eastAsia="新細明體" w:hAnsi="Taipei" w:cs="新細明體"/>
      <w:b/>
      <w:bCs/>
      <w:color w:val="000000"/>
      <w:kern w:val="0"/>
      <w:sz w:val="11"/>
      <w:szCs w:val="11"/>
      <w:lang w:eastAsia="zh-TW" w:bidi="he-IL"/>
    </w:rPr>
  </w:style>
  <w:style w:type="paragraph" w:styleId="ab">
    <w:name w:val="annotation subject"/>
    <w:basedOn w:val="ac"/>
    <w:next w:val="ac"/>
    <w:semiHidden/>
    <w:rPr>
      <w:b/>
      <w:bCs/>
    </w:rPr>
  </w:style>
  <w:style w:type="paragraph" w:styleId="ac">
    <w:name w:val="annotation text"/>
    <w:basedOn w:val="a"/>
    <w:semiHidden/>
    <w:pPr>
      <w:jc w:val="left"/>
    </w:pPr>
  </w:style>
  <w:style w:type="paragraph" w:styleId="aa">
    <w:name w:val="Balloon Text"/>
    <w:basedOn w:val="a"/>
    <w:link w:val="a9"/>
    <w:rPr>
      <w:sz w:val="18"/>
      <w:szCs w:val="18"/>
    </w:rPr>
  </w:style>
  <w:style w:type="paragraph" w:styleId="ad">
    <w:name w:val="Date"/>
    <w:basedOn w:val="a"/>
    <w:next w:val="a"/>
    <w:pPr>
      <w:ind w:leftChars="2500" w:left="100"/>
    </w:pPr>
  </w:style>
  <w:style w:type="paragraph" w:customStyle="1" w:styleId="relationcontent">
    <w:name w:val="relationcontent"/>
    <w:basedOn w:val="a"/>
    <w:pPr>
      <w:widowControl/>
      <w:spacing w:before="100" w:beforeAutospacing="1" w:after="100" w:afterAutospacing="1"/>
      <w:jc w:val="left"/>
    </w:pPr>
    <w:rPr>
      <w:rFonts w:ascii="Taipei" w:eastAsia="新細明體" w:hAnsi="Taipei" w:cs="新細明體"/>
      <w:color w:val="333333"/>
      <w:kern w:val="0"/>
      <w:sz w:val="9"/>
      <w:szCs w:val="9"/>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29542">
      <w:bodyDiv w:val="1"/>
      <w:marLeft w:val="0"/>
      <w:marRight w:val="0"/>
      <w:marTop w:val="0"/>
      <w:marBottom w:val="0"/>
      <w:divBdr>
        <w:top w:val="none" w:sz="0" w:space="0" w:color="auto"/>
        <w:left w:val="none" w:sz="0" w:space="0" w:color="auto"/>
        <w:bottom w:val="none" w:sz="0" w:space="0" w:color="auto"/>
        <w:right w:val="none" w:sz="0" w:space="0" w:color="auto"/>
      </w:divBdr>
      <w:divsChild>
        <w:div w:id="563832536">
          <w:marLeft w:val="0"/>
          <w:marRight w:val="0"/>
          <w:marTop w:val="0"/>
          <w:marBottom w:val="0"/>
          <w:divBdr>
            <w:top w:val="none" w:sz="0" w:space="0" w:color="auto"/>
            <w:left w:val="none" w:sz="0" w:space="0" w:color="auto"/>
            <w:bottom w:val="none" w:sz="0" w:space="0" w:color="auto"/>
            <w:right w:val="none" w:sz="0" w:space="0" w:color="auto"/>
          </w:divBdr>
        </w:div>
      </w:divsChild>
    </w:div>
    <w:div w:id="1639069390">
      <w:bodyDiv w:val="1"/>
      <w:marLeft w:val="0"/>
      <w:marRight w:val="0"/>
      <w:marTop w:val="0"/>
      <w:marBottom w:val="0"/>
      <w:divBdr>
        <w:top w:val="none" w:sz="0" w:space="0" w:color="auto"/>
        <w:left w:val="none" w:sz="0" w:space="0" w:color="auto"/>
        <w:bottom w:val="none" w:sz="0" w:space="0" w:color="auto"/>
        <w:right w:val="none" w:sz="0" w:space="0" w:color="auto"/>
      </w:divBdr>
      <w:divsChild>
        <w:div w:id="845827717">
          <w:marLeft w:val="0"/>
          <w:marRight w:val="0"/>
          <w:marTop w:val="0"/>
          <w:marBottom w:val="0"/>
          <w:divBdr>
            <w:top w:val="none" w:sz="0" w:space="0" w:color="auto"/>
            <w:left w:val="none" w:sz="0" w:space="0" w:color="auto"/>
            <w:bottom w:val="none" w:sz="0" w:space="0" w:color="auto"/>
            <w:right w:val="none" w:sz="0" w:space="0" w:color="auto"/>
          </w:divBdr>
          <w:divsChild>
            <w:div w:id="1896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PresentationFormat/>
  <Lines>4</Lines>
  <Paragraphs>1</Paragraphs>
  <Slides>0</Slides>
  <Notes>0</Notes>
  <HiddenSlides>0</HiddenSlides>
  <MMClips>0</MMClips>
  <ScaleCrop>false</ScaleCrop>
  <Company>微软中国</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小组督导会议议程</dc:title>
  <dc:creator>Yipsir</dc:creator>
  <cp:lastModifiedBy>Yipsir</cp:lastModifiedBy>
  <cp:revision>4</cp:revision>
  <dcterms:created xsi:type="dcterms:W3CDTF">2017-05-06T08:55:00Z</dcterms:created>
  <dcterms:modified xsi:type="dcterms:W3CDTF">2017-05-07T01:33:00Z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